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9282" w14:textId="77777777" w:rsidR="00533D9B" w:rsidRPr="00533D9B" w:rsidRDefault="00533D9B" w:rsidP="00533D9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41"/>
          <w:szCs w:val="41"/>
          <w:lang w:eastAsia="en-GB"/>
          <w14:ligatures w14:val="none"/>
        </w:rPr>
      </w:pPr>
      <w:r w:rsidRPr="00533D9B">
        <w:rPr>
          <w:rFonts w:ascii="Arial" w:eastAsia="Times New Roman" w:hAnsi="Arial" w:cs="Arial"/>
          <w:b/>
          <w:bCs/>
          <w:color w:val="000000"/>
          <w:kern w:val="0"/>
          <w:sz w:val="41"/>
          <w:szCs w:val="41"/>
          <w:lang w:eastAsia="en-GB"/>
          <w14:ligatures w14:val="none"/>
        </w:rPr>
        <w:t>Westonzoyland Parish Council wish to bring the following public consultation to your attention.</w:t>
      </w:r>
    </w:p>
    <w:p w14:paraId="17673748" w14:textId="77777777" w:rsidR="00533D9B" w:rsidRPr="00533D9B" w:rsidRDefault="00533D9B" w:rsidP="00533D9B">
      <w:pPr>
        <w:spacing w:after="42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 Environment Agency have determined that </w:t>
      </w:r>
      <w:proofErr w:type="spellStart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Towens</w:t>
      </w:r>
      <w:proofErr w:type="spellEnd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of Weston Ltd must apply for a variation to their Environmental Permit EPR/HB3004KS as part of their requirement to allow them to operate their Matec </w:t>
      </w:r>
      <w:proofErr w:type="spellStart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Aggretec</w:t>
      </w:r>
      <w:proofErr w:type="spellEnd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150 Wastewater Treatment and Filter Press, Washing and Classification plant at their site off </w:t>
      </w:r>
      <w:proofErr w:type="spellStart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Springway</w:t>
      </w:r>
      <w:proofErr w:type="spellEnd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Lane, Westonzoyland. There is currently a stop notice preventing use of the wash plant.</w:t>
      </w:r>
    </w:p>
    <w:p w14:paraId="6DC08584" w14:textId="77777777" w:rsidR="00533D9B" w:rsidRPr="00533D9B" w:rsidRDefault="00533D9B" w:rsidP="00533D9B">
      <w:pPr>
        <w:spacing w:after="42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proofErr w:type="spellStart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Towens</w:t>
      </w:r>
      <w:proofErr w:type="spellEnd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increased their waste throughput for the site from 50,000 to 200,000 tonnes a year on their permit earlier this year. There does not seem to have been any public consultation on this variation V002.</w:t>
      </w:r>
    </w:p>
    <w:p w14:paraId="0DCF1A48" w14:textId="77777777" w:rsidR="00533D9B" w:rsidRPr="00533D9B" w:rsidRDefault="00533D9B" w:rsidP="00533D9B">
      <w:pPr>
        <w:spacing w:after="42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There is now a public consultation for a variation to their permit to allow use of the wash plant to which you can respond. The consultation closes by 30</w:t>
      </w:r>
      <w:r w:rsidRPr="00533D9B">
        <w:rPr>
          <w:rFonts w:ascii="Roboto" w:eastAsia="Times New Roman" w:hAnsi="Roboto" w:cs="Times New Roman"/>
          <w:color w:val="000000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 December 2025 leaving just over 2 weeks, and can be accessed here: </w:t>
      </w:r>
      <w:hyperlink r:id="rId5" w:tgtFrame="_blank" w:history="1">
        <w:r w:rsidRPr="00533D9B">
          <w:rPr>
            <w:rFonts w:ascii="Arial" w:eastAsia="Times New Roman" w:hAnsi="Arial" w:cs="Arial"/>
            <w:color w:val="0000FF"/>
            <w:kern w:val="0"/>
            <w:sz w:val="27"/>
            <w:szCs w:val="27"/>
            <w:u w:val="single"/>
            <w:lang w:eastAsia="en-GB"/>
            <w14:ligatures w14:val="none"/>
          </w:rPr>
          <w:t>https://consult.environment-agency.gov.uk/psc/ta7-0js-towens-of-weston-ltd-epr-hb3004ks-v003/</w:t>
        </w:r>
      </w:hyperlink>
    </w:p>
    <w:p w14:paraId="5D300369" w14:textId="77777777" w:rsidR="00533D9B" w:rsidRPr="00533D9B" w:rsidRDefault="00533D9B" w:rsidP="00533D9B">
      <w:pPr>
        <w:spacing w:after="42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The </w:t>
      </w:r>
      <w:r w:rsidRPr="00533D9B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only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 things that you can comment on are:</w:t>
      </w:r>
    </w:p>
    <w:p w14:paraId="15FFC962" w14:textId="77777777" w:rsidR="00533D9B" w:rsidRPr="00533D9B" w:rsidRDefault="00533D9B" w:rsidP="00533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Relevant environmental regulatory requirements and technical standards – you can read the documents that </w:t>
      </w:r>
      <w:proofErr w:type="spellStart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Towens</w:t>
      </w:r>
      <w:proofErr w:type="spellEnd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have sent to the Environment Agency on the Citizen Space website.</w:t>
      </w:r>
    </w:p>
    <w:p w14:paraId="10DD8035" w14:textId="77777777" w:rsidR="00533D9B" w:rsidRPr="00533D9B" w:rsidRDefault="00533D9B" w:rsidP="00533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Information on </w:t>
      </w:r>
      <w:r w:rsidRPr="00533D9B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local population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 and </w:t>
      </w:r>
      <w:r w:rsidRPr="00533D9B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sensitive sites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 – the site is around 60m away from our Langmead and Weston Level Site of Special Scientific Interest, is within 100m of the homes of those living on the Airfield Camp / </w:t>
      </w:r>
      <w:proofErr w:type="spellStart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Springway</w:t>
      </w:r>
      <w:proofErr w:type="spellEnd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residential area and within 200m of the businesses on </w:t>
      </w:r>
      <w:proofErr w:type="spellStart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Springway</w:t>
      </w:r>
      <w:proofErr w:type="spellEnd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Business Estate. It is under the flight path for Westonzoyland Airfield.</w:t>
      </w:r>
    </w:p>
    <w:p w14:paraId="1C8C2F4C" w14:textId="77777777" w:rsidR="00533D9B" w:rsidRPr="00533D9B" w:rsidRDefault="00533D9B" w:rsidP="00533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Comments on whether the </w:t>
      </w:r>
      <w:r w:rsidRPr="00533D9B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right process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 is being used for the activity, for example whether the technology is the right one – this is quite technical!</w:t>
      </w:r>
    </w:p>
    <w:p w14:paraId="48FF395F" w14:textId="77777777" w:rsidR="00533D9B" w:rsidRPr="00533D9B" w:rsidRDefault="00533D9B" w:rsidP="00533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The shape and use of the land around the site in terms of its </w:t>
      </w:r>
      <w:r w:rsidRPr="00533D9B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potential impact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, whether that impact is acceptable and what </w:t>
      </w:r>
      <w:r w:rsidRPr="00533D9B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pollution control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 or </w:t>
      </w:r>
      <w:r w:rsidRPr="00533D9B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abatement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 may be required – you may be aware of the effectiveness of the measures that have been in place over the last 2 years while the wash plant has been operating so may wish to comment on this.</w:t>
      </w:r>
    </w:p>
    <w:p w14:paraId="0248C549" w14:textId="77777777" w:rsidR="00533D9B" w:rsidRPr="00533D9B" w:rsidRDefault="00533D9B" w:rsidP="00533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lastRenderedPageBreak/>
        <w:t>The impact of noise and odour from traffic </w:t>
      </w:r>
      <w:r w:rsidRPr="00533D9B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on site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 – you </w:t>
      </w:r>
      <w:r w:rsidRPr="00533D9B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cannot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 refer to traffic going through the village for an environmental permit consultation.</w:t>
      </w:r>
    </w:p>
    <w:p w14:paraId="3CC537D8" w14:textId="77777777" w:rsidR="00533D9B" w:rsidRPr="00533D9B" w:rsidRDefault="00533D9B" w:rsidP="00533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Permit conditions by providing information that the Environment Agency have not been made aware of in the application, or by correcting</w:t>
      </w:r>
      <w:r w:rsidRPr="00533D9B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 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incorrect information in the application if there is any (e.g. monitoring and techniques to control pollution).</w:t>
      </w:r>
    </w:p>
    <w:p w14:paraId="74FC2765" w14:textId="77777777" w:rsidR="00533D9B" w:rsidRPr="00533D9B" w:rsidRDefault="00533D9B" w:rsidP="00533D9B">
      <w:pPr>
        <w:spacing w:after="42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This is link to a publicity page that describes the wash plant that was installed on the site (2022-2023) </w:t>
      </w:r>
      <w:hyperlink r:id="rId6" w:tgtFrame="_blank" w:history="1">
        <w:r w:rsidRPr="00533D9B">
          <w:rPr>
            <w:rFonts w:ascii="Arial" w:eastAsia="Times New Roman" w:hAnsi="Arial" w:cs="Arial"/>
            <w:color w:val="0000FF"/>
            <w:kern w:val="0"/>
            <w:sz w:val="27"/>
            <w:szCs w:val="27"/>
            <w:u w:val="single"/>
            <w:lang w:eastAsia="en-GB"/>
            <w14:ligatures w14:val="none"/>
          </w:rPr>
          <w:t>https://www.matecindustries.com/en/case-study-towens-plant-wastewater-treatment-sand-washing/</w:t>
        </w:r>
      </w:hyperlink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. There is a video at the bottom that explains the way in which the wash plant works and the type of wastes that it can be used to treat.</w:t>
      </w:r>
    </w:p>
    <w:p w14:paraId="08803AF1" w14:textId="77777777" w:rsidR="00533D9B" w:rsidRPr="00533D9B" w:rsidRDefault="00533D9B" w:rsidP="00533D9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Arial" w:eastAsia="Times New Roman" w:hAnsi="Arial" w:cs="Arial"/>
          <w:noProof/>
          <w:color w:val="0000FF"/>
          <w:kern w:val="0"/>
          <w:sz w:val="27"/>
          <w:szCs w:val="27"/>
          <w:lang w:eastAsia="en-GB"/>
          <w14:ligatures w14:val="none"/>
        </w:rPr>
        <w:drawing>
          <wp:inline distT="0" distB="0" distL="0" distR="0" wp14:anchorId="4D2B78F1" wp14:editId="17CB9443">
            <wp:extent cx="4514850" cy="3086100"/>
            <wp:effectExtent l="0" t="0" r="0" b="0"/>
            <wp:docPr id="1" name="Picture 2" descr="Complete plant in UK Towens">
              <a:hlinkClick xmlns:a="http://schemas.openxmlformats.org/drawingml/2006/main" r:id="rId7" tooltip="&quot;Complete plant in UK Towe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lete plant in UK Towens">
                      <a:hlinkClick r:id="rId7" tooltip="&quot;Complete plant in UK Towe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1DCBC" w14:textId="77777777" w:rsidR="00533D9B" w:rsidRPr="00533D9B" w:rsidRDefault="00533D9B" w:rsidP="00533D9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Complete plant in UK </w:t>
      </w:r>
      <w:proofErr w:type="spellStart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Towens</w:t>
      </w:r>
      <w:proofErr w:type="spellEnd"/>
    </w:p>
    <w:p w14:paraId="575DE014" w14:textId="77777777" w:rsidR="00533D9B" w:rsidRPr="00533D9B" w:rsidRDefault="00533D9B" w:rsidP="00533D9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Arial" w:eastAsia="Times New Roman" w:hAnsi="Arial" w:cs="Arial"/>
          <w:noProof/>
          <w:color w:val="0000FF"/>
          <w:kern w:val="0"/>
          <w:sz w:val="27"/>
          <w:szCs w:val="27"/>
          <w:lang w:eastAsia="en-GB"/>
          <w14:ligatures w14:val="none"/>
        </w:rPr>
        <w:lastRenderedPageBreak/>
        <w:drawing>
          <wp:inline distT="0" distB="0" distL="0" distR="0" wp14:anchorId="78039897" wp14:editId="3D01D948">
            <wp:extent cx="4514850" cy="3086100"/>
            <wp:effectExtent l="0" t="0" r="0" b="0"/>
            <wp:docPr id="2" name="Picture 2" descr="Google Earth satellite view 2025 shows the Towens site and wash plant south of the A372">
              <a:hlinkClick xmlns:a="http://schemas.openxmlformats.org/drawingml/2006/main" r:id="rId9" tooltip="&quot;Google Earth satellite view 2025 shows the Towens site and wash plant south of the A37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gle Earth satellite view 2025 shows the Towens site and wash plant south of the A372">
                      <a:hlinkClick r:id="rId9" tooltip="&quot;Google Earth satellite view 2025 shows the Towens site and wash plant south of the A37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398E" w14:textId="77777777" w:rsidR="00533D9B" w:rsidRPr="00533D9B" w:rsidRDefault="00533D9B" w:rsidP="00533D9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Google Earth satellite view 2025 shows the </w:t>
      </w:r>
      <w:proofErr w:type="spellStart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Towens</w:t>
      </w:r>
      <w:proofErr w:type="spellEnd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site and wash plant south of the A372</w:t>
      </w:r>
    </w:p>
    <w:p w14:paraId="512ED1B4" w14:textId="77777777" w:rsidR="00533D9B" w:rsidRPr="00533D9B" w:rsidRDefault="00533D9B" w:rsidP="00533D9B">
      <w:pPr>
        <w:spacing w:after="420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We anticipate that </w:t>
      </w:r>
      <w:proofErr w:type="spellStart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Towens</w:t>
      </w:r>
      <w:proofErr w:type="spellEnd"/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will also need change in their existing planning conditions by submitting a planning application to Somerset Council before the site can store, process and treat this volume of soil and other types of waste or use the wash plant, </w:t>
      </w:r>
      <w:r w:rsidRPr="00533D9B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but there is no planning application</w:t>
      </w:r>
      <w:r w:rsidRPr="00533D9B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  <w:t> in the public domain for you to comment on yet.</w:t>
      </w:r>
    </w:p>
    <w:p w14:paraId="0C2FCD6C" w14:textId="77777777" w:rsidR="00533D9B" w:rsidRPr="00533D9B" w:rsidRDefault="00533D9B" w:rsidP="00533D9B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en-GB"/>
          <w14:ligatures w14:val="none"/>
        </w:rPr>
      </w:pPr>
      <w:hyperlink r:id="rId11" w:history="1">
        <w:r w:rsidRPr="00533D9B">
          <w:rPr>
            <w:rFonts w:ascii="Arial" w:eastAsia="Times New Roman" w:hAnsi="Arial" w:cs="Arial"/>
            <w:color w:val="0000FF"/>
            <w:kern w:val="0"/>
            <w:sz w:val="23"/>
            <w:szCs w:val="23"/>
            <w:bdr w:val="single" w:sz="6" w:space="9" w:color="auto" w:frame="1"/>
            <w:lang w:eastAsia="en-GB"/>
            <w14:ligatures w14:val="none"/>
          </w:rPr>
          <w:t xml:space="preserve">Download </w:t>
        </w:r>
        <w:proofErr w:type="spellStart"/>
        <w:r w:rsidRPr="00533D9B">
          <w:rPr>
            <w:rFonts w:ascii="Arial" w:eastAsia="Times New Roman" w:hAnsi="Arial" w:cs="Arial"/>
            <w:color w:val="0000FF"/>
            <w:kern w:val="0"/>
            <w:sz w:val="23"/>
            <w:szCs w:val="23"/>
            <w:bdr w:val="single" w:sz="6" w:space="9" w:color="auto" w:frame="1"/>
            <w:lang w:eastAsia="en-GB"/>
            <w14:ligatures w14:val="none"/>
          </w:rPr>
          <w:t>Springway</w:t>
        </w:r>
        <w:proofErr w:type="spellEnd"/>
        <w:r w:rsidRPr="00533D9B">
          <w:rPr>
            <w:rFonts w:ascii="Arial" w:eastAsia="Times New Roman" w:hAnsi="Arial" w:cs="Arial"/>
            <w:color w:val="0000FF"/>
            <w:kern w:val="0"/>
            <w:sz w:val="23"/>
            <w:szCs w:val="23"/>
            <w:bdr w:val="single" w:sz="6" w:space="9" w:color="auto" w:frame="1"/>
            <w:lang w:eastAsia="en-GB"/>
            <w14:ligatures w14:val="none"/>
          </w:rPr>
          <w:t xml:space="preserve"> Statement on Judicial Review</w:t>
        </w:r>
      </w:hyperlink>
    </w:p>
    <w:p w14:paraId="20E85259" w14:textId="77777777" w:rsidR="00533D9B" w:rsidRPr="00533D9B" w:rsidRDefault="00533D9B" w:rsidP="00533D9B">
      <w:pPr>
        <w:spacing w:after="42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533D9B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Copyright © Westonzoyland Parish Council</w:t>
      </w:r>
    </w:p>
    <w:sectPr w:rsidR="00533D9B" w:rsidRPr="00533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168BB"/>
    <w:multiLevelType w:val="multilevel"/>
    <w:tmpl w:val="518E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98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9B"/>
    <w:rsid w:val="001424F2"/>
    <w:rsid w:val="00533D9B"/>
    <w:rsid w:val="005D4A0B"/>
    <w:rsid w:val="005E1D8B"/>
    <w:rsid w:val="006C1C55"/>
    <w:rsid w:val="00893CDA"/>
    <w:rsid w:val="009C2BF9"/>
    <w:rsid w:val="00D1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C818"/>
  <w15:chartTrackingRefBased/>
  <w15:docId w15:val="{2344420E-8C92-4623-82FE-1D37B4D7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D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D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D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D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stonzoyland-pc.gov.uk/wp-content/uploads/2025/12/Complete-plant-in-UK-Towens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ecindustries.com/en/case-study-towens-plant-wastewater-treatment-sand-washing/" TargetMode="External"/><Relationship Id="rId11" Type="http://schemas.openxmlformats.org/officeDocument/2006/relationships/hyperlink" Target="https://westonzoyland-pc.gov.uk/wp-content/uploads/2025/12/Springway-Statement-on-Judicial-Review.pdf" TargetMode="External"/><Relationship Id="rId5" Type="http://schemas.openxmlformats.org/officeDocument/2006/relationships/hyperlink" Target="https://consult.environment-agency.gov.uk/psc/ta7-0js-towens-of-weston-ltd-epr-hb3004ks-v003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estonzoyland-pc.gov.uk/wp-content/uploads/2025/12/Google-Earth-satellite-view-2025-shows-the-Towens-site-and-wash-plant-south-of-the-A37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House</dc:creator>
  <cp:keywords/>
  <dc:description/>
  <cp:lastModifiedBy>Deborah House</cp:lastModifiedBy>
  <cp:revision>1</cp:revision>
  <dcterms:created xsi:type="dcterms:W3CDTF">2026-03-07T11:51:00Z</dcterms:created>
  <dcterms:modified xsi:type="dcterms:W3CDTF">2026-03-07T11:53:00Z</dcterms:modified>
</cp:coreProperties>
</file>